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E" w:rsidRDefault="00BF449E" w:rsidP="00BF4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BF449E" w:rsidRDefault="00BF449E" w:rsidP="00BF4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BF449E" w:rsidRDefault="00BF449E" w:rsidP="00BF4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Снегирева</w:t>
      </w:r>
      <w:r w:rsidR="001E293E" w:rsidRPr="001E293E">
        <w:rPr>
          <w:rFonts w:ascii="Times New Roman" w:hAnsi="Times New Roman" w:cs="Times New Roman"/>
          <w:sz w:val="24"/>
          <w:szCs w:val="24"/>
        </w:rPr>
        <w:t xml:space="preserve"> </w:t>
      </w:r>
      <w:r w:rsidR="001E293E">
        <w:rPr>
          <w:rFonts w:ascii="Times New Roman" w:hAnsi="Times New Roman" w:cs="Times New Roman"/>
          <w:sz w:val="24"/>
          <w:szCs w:val="24"/>
        </w:rPr>
        <w:t>И.В.</w:t>
      </w:r>
    </w:p>
    <w:p w:rsidR="00BF449E" w:rsidRDefault="00BF449E" w:rsidP="00BF4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9273"/>
      </w:tblGrid>
      <w:tr w:rsidR="00BF449E" w:rsidTr="000122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BF449E" w:rsidTr="000122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BF449E" w:rsidTr="000122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012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3198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BF449E" w:rsidTr="000122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9E" w:rsidRDefault="00BF44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Разработано в 2019-2020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уч.году</w:t>
            </w:r>
            <w:proofErr w:type="spellEnd"/>
          </w:p>
        </w:tc>
      </w:tr>
    </w:tbl>
    <w:p w:rsidR="00012263" w:rsidRDefault="00012263" w:rsidP="00B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02" w:type="dxa"/>
        <w:tblInd w:w="-1168" w:type="dxa"/>
        <w:tblLayout w:type="fixed"/>
        <w:tblLook w:val="04A0"/>
      </w:tblPr>
      <w:tblGrid>
        <w:gridCol w:w="2156"/>
        <w:gridCol w:w="2694"/>
        <w:gridCol w:w="5952"/>
      </w:tblGrid>
      <w:tr w:rsidR="00BF449E" w:rsidRPr="007F5315" w:rsidTr="00012263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9E" w:rsidRPr="007F5315" w:rsidRDefault="00BF4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315">
              <w:rPr>
                <w:rFonts w:ascii="Times New Roman" w:hAnsi="Times New Roman" w:cs="Times New Roman"/>
                <w:b/>
              </w:rPr>
              <w:t xml:space="preserve">Блок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9E" w:rsidRPr="007F5315" w:rsidRDefault="00BF4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315">
              <w:rPr>
                <w:rFonts w:ascii="Times New Roman" w:hAnsi="Times New Roman" w:cs="Times New Roman"/>
                <w:b/>
              </w:rPr>
              <w:t xml:space="preserve">Термины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9E" w:rsidRPr="007F5315" w:rsidRDefault="00BF4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315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BF449E" w:rsidRPr="007F5315" w:rsidTr="00012263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63" w:rsidRPr="007F5315" w:rsidRDefault="00012263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Мировая экономика.</w:t>
            </w:r>
          </w:p>
          <w:p w:rsidR="00BF449E" w:rsidRPr="007F5315" w:rsidRDefault="00012263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Научно-техническая революция.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Мировая экономика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063357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Fonts w:ascii="Times New Roman" w:hAnsi="Times New Roman" w:cs="Times New Roman"/>
                <w:color w:val="000000"/>
              </w:rPr>
              <w:t>Совокупность национальных экономик всех стран мира в их постоянном взаимодействии, взаимосвязи и взаимозависимости посредством сочетания мобильных факторов производства в рамках системы международных экономических отношений.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Первичный сектор экономики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82002D" w:rsidP="00B43198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 xml:space="preserve">Включает </w:t>
            </w:r>
            <w:r w:rsidR="00B43198" w:rsidRPr="007F5315">
              <w:rPr>
                <w:rStyle w:val="a8"/>
                <w:rFonts w:ascii="Times New Roman" w:hAnsi="Times New Roman" w:cs="Times New Roman"/>
                <w:b w:val="0"/>
              </w:rPr>
              <w:t>сельское хозяйство, рыболовный промысел, лесное хозяйство, горнодобывающая промышленность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Вторичный  сектор экономики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82002D" w:rsidP="0082002D">
            <w:pPr>
              <w:pStyle w:val="2"/>
              <w:spacing w:line="240" w:lineRule="auto"/>
              <w:jc w:val="both"/>
              <w:outlineLvl w:val="1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Включает обрабатывающие отрасли промышленности и строительство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Третичный сектор экономики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82002D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Сфера услуг</w:t>
            </w:r>
          </w:p>
        </w:tc>
      </w:tr>
      <w:tr w:rsidR="00B43198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198" w:rsidRPr="007F5315" w:rsidRDefault="00B43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198" w:rsidRPr="007F5315" w:rsidRDefault="00B43198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Четвертичный сектор экономики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198" w:rsidRPr="007F5315" w:rsidRDefault="0027311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Включает информационные технологии, образование, научные исследования, глобальный маркетинг, банковские, финансовые, консалтинговые услуги т.д.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Разделение стран по уровню социально-экономического развития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F449E" w:rsidP="007F531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Экономически развитые страны</w:t>
            </w:r>
          </w:p>
          <w:p w:rsidR="00BF449E" w:rsidRPr="007F5315" w:rsidRDefault="00BF449E" w:rsidP="007F531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Развивающиеся страны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01226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Глобализация мировой экономики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8066E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Процесс превращения мировой экономики в единый рынок товаров, услуг, капитала, рабочей силы и технологий, который представляет более высокую стадию интернационализации.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01226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Научно-техническая революция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B979F7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Коренные качественные изменения, происходящие во всех отраслях в результате внедрения научных открытий.</w:t>
            </w:r>
          </w:p>
        </w:tc>
      </w:tr>
      <w:tr w:rsidR="00BF449E" w:rsidRPr="007F5315" w:rsidTr="00012263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E" w:rsidRPr="007F5315" w:rsidRDefault="00BF4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01226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Составные части НТР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9E" w:rsidRPr="007F5315" w:rsidRDefault="000A459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Выделяется 4 составные части современной научно-технической революции: наука, техника и технология, производство, управление.</w:t>
            </w:r>
          </w:p>
        </w:tc>
      </w:tr>
      <w:tr w:rsidR="00012263" w:rsidRPr="007F5315" w:rsidTr="007579B3">
        <w:trPr>
          <w:trHeight w:val="562"/>
        </w:trPr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263" w:rsidRPr="007F5315" w:rsidRDefault="000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2263" w:rsidRPr="007F5315" w:rsidRDefault="0001226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МГРТ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2263" w:rsidRPr="007F5315" w:rsidRDefault="00994EA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F5315">
              <w:rPr>
                <w:rStyle w:val="a8"/>
                <w:rFonts w:ascii="Times New Roman" w:hAnsi="Times New Roman" w:cs="Times New Roman"/>
                <w:b w:val="0"/>
              </w:rPr>
              <w:t>Специализация отдельных стран и регионов в производстве определенных видов продукции и услуг и последующий обмен ими.</w:t>
            </w:r>
          </w:p>
        </w:tc>
      </w:tr>
      <w:tr w:rsidR="00DC475C" w:rsidRPr="007F5315" w:rsidTr="00291ACA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475C" w:rsidRPr="007F5315" w:rsidRDefault="00DC475C" w:rsidP="00FD6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 xml:space="preserve">Природные ресурсы мира.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67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Земельные и</w:t>
            </w:r>
          </w:p>
          <w:p w:rsidR="00DC475C" w:rsidRPr="007F5315" w:rsidRDefault="00DC475C" w:rsidP="00C8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лесн</w:t>
            </w:r>
            <w:bookmarkStart w:id="0" w:name="_GoBack"/>
            <w:bookmarkEnd w:id="0"/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ые</w:t>
            </w:r>
          </w:p>
          <w:p w:rsidR="00DC475C" w:rsidRPr="007F5315" w:rsidRDefault="00DC475C" w:rsidP="00676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ресурсы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676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Земельные (почвенные) ресурсы определяются мировым земельным фондом, который (без учета</w:t>
            </w:r>
            <w:r w:rsidR="00342F2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Антарктиды) составляет 13,4 млрд. га. Эти земли сосредоточены в основном в лесных, в лесостепных и степных зонах нашей планеты. А остальное — территории, непригодные для сельскохозяйственной обработки земель. Сюда относятся горы, территории, скованные многолетней мерзлотой, пустыни, полярные пространства Канады, Гренландии, России и США.</w:t>
            </w:r>
          </w:p>
        </w:tc>
      </w:tr>
      <w:tr w:rsidR="00DC475C" w:rsidRPr="007F5315" w:rsidTr="00291ACA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75C" w:rsidRPr="007F5315" w:rsidRDefault="00DC4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67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Водные</w:t>
            </w:r>
          </w:p>
          <w:p w:rsidR="00DC475C" w:rsidRPr="007F5315" w:rsidRDefault="00DC475C" w:rsidP="00676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Ресурсы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7F53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5315">
              <w:rPr>
                <w:rFonts w:ascii="Times New Roman" w:eastAsia="Times New Roman" w:hAnsi="Times New Roman" w:cs="Times New Roman"/>
                <w:color w:val="000000"/>
              </w:rPr>
              <w:t>Общий объем гидросферы Земли огромен и составляет почти 1,4 млрд. куб.км</w:t>
            </w:r>
            <w:r w:rsidR="00C366F0" w:rsidRPr="007F53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366F0" w:rsidRPr="007F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</w:t>
            </w:r>
            <w:r w:rsidRPr="007F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одные ресурсы можно отнести к условно исчерпаемым, потому что количество воды на поверхности Земли в каком-либо районе зависит от климата, а значит, неизбежно возникает неравномерность распределения водных ресурсов, так же нерациональное использование может привести к потере водоема (из озера можно получить болото) или загрязнит воду настолько, что </w:t>
            </w:r>
            <w:r w:rsidRPr="007F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она станет непригодной для питьевых нужд.</w:t>
            </w:r>
          </w:p>
        </w:tc>
      </w:tr>
      <w:tr w:rsidR="00DC475C" w:rsidRPr="007F5315" w:rsidTr="00291ACA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75C" w:rsidRPr="007F5315" w:rsidRDefault="00DC4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Минеральные ресурсы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 xml:space="preserve">Минеральное сырье (полезные ископаемые) по своему геологическому происхождению и назначению можно разделить на топливное, рудное, химическое, строительное и техническое. </w:t>
            </w:r>
          </w:p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 xml:space="preserve">Топливное минеральное сырье имеет осадочное происхождение, поэтому размещено неравномерно и приурочено к осадочным чехлам платформенных структур. К топливным </w:t>
            </w:r>
            <w:r w:rsidR="00C366F0" w:rsidRPr="007F5315">
              <w:rPr>
                <w:rFonts w:ascii="Times New Roman" w:hAnsi="Times New Roman" w:cs="Times New Roman"/>
              </w:rPr>
              <w:t>ресурсам,</w:t>
            </w:r>
            <w:r w:rsidRPr="007F5315">
              <w:rPr>
                <w:rFonts w:ascii="Times New Roman" w:hAnsi="Times New Roman" w:cs="Times New Roman"/>
              </w:rPr>
              <w:t xml:space="preserve"> прежде </w:t>
            </w:r>
            <w:r w:rsidR="00C366F0" w:rsidRPr="007F5315">
              <w:rPr>
                <w:rFonts w:ascii="Times New Roman" w:hAnsi="Times New Roman" w:cs="Times New Roman"/>
              </w:rPr>
              <w:t>всего,</w:t>
            </w:r>
            <w:r w:rsidRPr="007F5315">
              <w:rPr>
                <w:rFonts w:ascii="Times New Roman" w:hAnsi="Times New Roman" w:cs="Times New Roman"/>
              </w:rPr>
              <w:t xml:space="preserve"> относится «большая тройка» — нефть, природный газ и уголь, продуцирующие более 80% производимой в мире энергии.</w:t>
            </w:r>
          </w:p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Рудное минеральное сырье в отличие от осадочного топливного имеет за редким исключением магматическое или метаморфическое происхождение, поэтому приурочено к складчатым тектоническим структурам, к щитам, к разломам земной коры.</w:t>
            </w:r>
          </w:p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Среди нерудного сырья следует выделить химическое сырье: фосфориты, апатиты, соли, серу.</w:t>
            </w:r>
          </w:p>
        </w:tc>
      </w:tr>
      <w:tr w:rsidR="00DC475C" w:rsidRPr="007F5315" w:rsidTr="00291ACA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75C" w:rsidRPr="007F5315" w:rsidRDefault="00DC4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Рекреационные ресурсы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Под рекреационными ресурсами понимают природные компоненты и антропогенные объекты, обладающие уникальностью, исторической, художественной и эстетической ценностью, целебно-оздоровительной значимостью, предназначенные для организации различных видов отдыха, туризма и лечения. Они подразделяются на природные и антропогенные рекреационные ресурсы. Среди природных рекреационных ресурсов выделяются геологические и геоморфологические, гидрологические, климатические, энергетические, биологические, ландшафтные ресурсы.</w:t>
            </w:r>
          </w:p>
          <w:p w:rsidR="00DC475C" w:rsidRPr="007F5315" w:rsidRDefault="00DC475C" w:rsidP="000E1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 New Roman" w:hAnsi="Times New Roman" w:cs="Times New Roman"/>
              </w:rPr>
              <w:t>Рекреационные ресурсы являются основой для туризма. В последние десятилетия в мире идет «туристический бум». По данным Всемирной туристской организации за 2019</w:t>
            </w:r>
            <w:r w:rsidR="007F5315">
              <w:rPr>
                <w:rFonts w:ascii="Times New Roman" w:hAnsi="Times New Roman" w:cs="Times New Roman"/>
              </w:rPr>
              <w:t xml:space="preserve"> год</w:t>
            </w:r>
            <w:r w:rsidRPr="007F5315">
              <w:rPr>
                <w:rFonts w:ascii="Times New Roman" w:hAnsi="Times New Roman" w:cs="Times New Roman"/>
              </w:rPr>
              <w:t xml:space="preserve"> число только международных туристов в мире достигло 1,5 млрд. человек, а поступления от международного туризма превысили 1 трлн. долл.</w:t>
            </w:r>
          </w:p>
        </w:tc>
      </w:tr>
      <w:tr w:rsidR="00DC475C" w:rsidRPr="007F5315" w:rsidTr="00291ACA"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75C" w:rsidRPr="007F5315" w:rsidRDefault="00DC4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C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Пути решения</w:t>
            </w:r>
          </w:p>
          <w:p w:rsidR="00DC475C" w:rsidRPr="007F5315" w:rsidRDefault="00DC475C" w:rsidP="00C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экологических</w:t>
            </w:r>
          </w:p>
          <w:p w:rsidR="00DC475C" w:rsidRPr="007F5315" w:rsidRDefault="00DC475C" w:rsidP="00C87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проблем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5C" w:rsidRPr="007F5315" w:rsidRDefault="00DC475C" w:rsidP="00C8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Главные экологические проблемы современности, среди которых изменение климата, истощение озонового слоя, опустынивание, снижение биологического разнообразия, загрязнение вод Мирового океана не имеют государственныхграниц и должны решаться всем мировымсообществом. Для борьбы со сложившейсяэкологической ситуацией созданы и эффективнофункционируют так называемые "зеленые" организации, наиболее известными среди которых являются "</w:t>
            </w:r>
            <w:proofErr w:type="spellStart"/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Green</w:t>
            </w:r>
            <w:proofErr w:type="spellEnd"/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proofErr w:type="spellStart"/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Peace</w:t>
            </w:r>
            <w:proofErr w:type="spellEnd"/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","Всемирный фонд дикой природы", разного рода государственные или</w:t>
            </w:r>
            <w:r w:rsidR="007F5315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общественные природоохранные инициативы (</w:t>
            </w:r>
            <w:r w:rsidR="00C366F0">
              <w:rPr>
                <w:rFonts w:ascii="TimesNewRomanPSMT" w:eastAsiaTheme="minorHAnsi" w:hAnsi="TimesNewRomanPSMT" w:cs="TimesNewRomanPSMT"/>
                <w:lang w:eastAsia="en-US"/>
              </w:rPr>
              <w:t xml:space="preserve">к </w:t>
            </w:r>
            <w:r w:rsidR="00C366F0" w:rsidRPr="007F5315">
              <w:rPr>
                <w:rFonts w:ascii="TimesNewRomanPSMT" w:eastAsiaTheme="minorHAnsi" w:hAnsi="TimesNewRomanPSMT" w:cs="TimesNewRomanPSMT"/>
                <w:lang w:eastAsia="en-US"/>
              </w:rPr>
              <w:t>примеру</w:t>
            </w:r>
            <w:r w:rsidRPr="007F5315">
              <w:rPr>
                <w:rFonts w:ascii="TimesNewRomanPSMT" w:eastAsiaTheme="minorHAnsi" w:hAnsi="TimesNewRomanPSMT" w:cs="TimesNewRomanPSMT"/>
                <w:lang w:eastAsia="en-US"/>
              </w:rPr>
              <w:t>, система "Красная книга"). Среди наиболее эффективных путей решения экологических проблем необходимо выделить внедрение экологически эффективных и ресурсосберегающих технологий, сырья, продукции и оборудования, рациональное использование природных ресурсов.</w:t>
            </w:r>
          </w:p>
        </w:tc>
      </w:tr>
    </w:tbl>
    <w:p w:rsidR="00225B37" w:rsidRPr="00BF449E" w:rsidRDefault="00225B37">
      <w:pPr>
        <w:rPr>
          <w:rFonts w:ascii="Times New Roman" w:hAnsi="Times New Roman" w:cs="Times New Roman"/>
          <w:sz w:val="24"/>
          <w:szCs w:val="24"/>
        </w:rPr>
      </w:pPr>
    </w:p>
    <w:sectPr w:rsidR="00225B37" w:rsidRPr="00BF449E" w:rsidSect="00F5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38C"/>
    <w:multiLevelType w:val="hybridMultilevel"/>
    <w:tmpl w:val="0570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CE2"/>
    <w:multiLevelType w:val="hybridMultilevel"/>
    <w:tmpl w:val="DD0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5596"/>
    <w:multiLevelType w:val="hybridMultilevel"/>
    <w:tmpl w:val="D0E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6A72"/>
    <w:rsid w:val="00012263"/>
    <w:rsid w:val="00063357"/>
    <w:rsid w:val="000A4599"/>
    <w:rsid w:val="000E105C"/>
    <w:rsid w:val="001E293E"/>
    <w:rsid w:val="00225B37"/>
    <w:rsid w:val="00273112"/>
    <w:rsid w:val="00342F29"/>
    <w:rsid w:val="00676030"/>
    <w:rsid w:val="0074740F"/>
    <w:rsid w:val="007F5315"/>
    <w:rsid w:val="0082002D"/>
    <w:rsid w:val="00954BF8"/>
    <w:rsid w:val="00994EA3"/>
    <w:rsid w:val="00AD74CD"/>
    <w:rsid w:val="00B43198"/>
    <w:rsid w:val="00B8066E"/>
    <w:rsid w:val="00B979F7"/>
    <w:rsid w:val="00BF449E"/>
    <w:rsid w:val="00C366F0"/>
    <w:rsid w:val="00C877E6"/>
    <w:rsid w:val="00D86A72"/>
    <w:rsid w:val="00DC475C"/>
    <w:rsid w:val="00F53643"/>
    <w:rsid w:val="00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4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BF449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449E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BF449E"/>
    <w:rPr>
      <w:i/>
      <w:iCs/>
      <w:color w:val="404040" w:themeColor="text1" w:themeTint="BF"/>
    </w:rPr>
  </w:style>
  <w:style w:type="character" w:styleId="a6">
    <w:name w:val="Book Title"/>
    <w:basedOn w:val="a0"/>
    <w:uiPriority w:val="33"/>
    <w:qFormat/>
    <w:rsid w:val="00BF449E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BF44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F449E"/>
    <w:rPr>
      <w:b/>
      <w:bCs/>
    </w:rPr>
  </w:style>
  <w:style w:type="character" w:styleId="a9">
    <w:name w:val="Emphasis"/>
    <w:basedOn w:val="a0"/>
    <w:uiPriority w:val="20"/>
    <w:qFormat/>
    <w:rsid w:val="00BF449E"/>
    <w:rPr>
      <w:i/>
      <w:iCs/>
    </w:rPr>
  </w:style>
  <w:style w:type="character" w:styleId="aa">
    <w:name w:val="Hyperlink"/>
    <w:basedOn w:val="a0"/>
    <w:uiPriority w:val="99"/>
    <w:semiHidden/>
    <w:unhideWhenUsed/>
    <w:rsid w:val="000122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D6A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2019-12-01T17:09:00Z</dcterms:created>
  <dcterms:modified xsi:type="dcterms:W3CDTF">2020-04-08T19:04:00Z</dcterms:modified>
</cp:coreProperties>
</file>